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7034F8" w:rsidRDefault="001C3877" w:rsidP="003B3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Appendix 1 - </w:t>
      </w:r>
      <w:bookmarkStart w:id="0" w:name="_GoBack"/>
      <w:bookmarkEnd w:id="0"/>
      <w:r w:rsidR="003B3A2E" w:rsidRPr="007034F8">
        <w:rPr>
          <w:b/>
          <w:sz w:val="32"/>
          <w:szCs w:val="32"/>
        </w:rPr>
        <w:t>Footfall</w:t>
      </w:r>
      <w:r w:rsidR="00317213" w:rsidRPr="007034F8">
        <w:rPr>
          <w:b/>
          <w:sz w:val="32"/>
          <w:szCs w:val="32"/>
        </w:rPr>
        <w:t xml:space="preserve"> Oxford</w:t>
      </w:r>
      <w:r w:rsidR="003B3A2E" w:rsidRPr="007034F8">
        <w:rPr>
          <w:b/>
          <w:sz w:val="32"/>
          <w:szCs w:val="32"/>
        </w:rPr>
        <w:t xml:space="preserve"> 2018</w:t>
      </w:r>
    </w:p>
    <w:p w:rsidR="007034F8" w:rsidRDefault="007034F8" w:rsidP="003B3A2E">
      <w:pPr>
        <w:jc w:val="center"/>
        <w:rPr>
          <w:b/>
        </w:rPr>
      </w:pPr>
    </w:p>
    <w:p w:rsidR="00317213" w:rsidRDefault="007034F8" w:rsidP="00F23179">
      <w:pPr>
        <w:jc w:val="center"/>
        <w:rPr>
          <w:rStyle w:val="A4"/>
          <w:b/>
          <w:color w:val="auto"/>
          <w:sz w:val="32"/>
          <w:szCs w:val="32"/>
        </w:rPr>
      </w:pPr>
      <w:r>
        <w:rPr>
          <w:rStyle w:val="A4"/>
          <w:b/>
          <w:color w:val="auto"/>
          <w:sz w:val="32"/>
          <w:szCs w:val="32"/>
        </w:rPr>
        <w:t xml:space="preserve">Overview </w:t>
      </w:r>
      <w:r w:rsidR="002E0BB4">
        <w:rPr>
          <w:rStyle w:val="A4"/>
          <w:b/>
          <w:color w:val="auto"/>
          <w:sz w:val="32"/>
          <w:szCs w:val="32"/>
        </w:rPr>
        <w:t xml:space="preserve">Oxford </w:t>
      </w:r>
      <w:r w:rsidR="00317213" w:rsidRPr="00102601">
        <w:rPr>
          <w:rStyle w:val="A4"/>
          <w:b/>
          <w:color w:val="auto"/>
          <w:sz w:val="32"/>
          <w:szCs w:val="32"/>
        </w:rPr>
        <w:t>Q</w:t>
      </w:r>
      <w:r>
        <w:rPr>
          <w:rStyle w:val="A4"/>
          <w:b/>
          <w:color w:val="auto"/>
          <w:sz w:val="32"/>
          <w:szCs w:val="32"/>
        </w:rPr>
        <w:t>uarterly Reports</w:t>
      </w:r>
      <w:r w:rsidR="00317213">
        <w:rPr>
          <w:rStyle w:val="A4"/>
          <w:b/>
          <w:color w:val="auto"/>
          <w:sz w:val="32"/>
          <w:szCs w:val="32"/>
        </w:rPr>
        <w:t xml:space="preserve"> 2016-2017-</w:t>
      </w:r>
      <w:r w:rsidR="00317213" w:rsidRPr="00102601">
        <w:rPr>
          <w:rStyle w:val="A4"/>
          <w:b/>
          <w:color w:val="auto"/>
          <w:sz w:val="32"/>
          <w:szCs w:val="32"/>
        </w:rPr>
        <w:t xml:space="preserve"> 2018</w:t>
      </w:r>
    </w:p>
    <w:p w:rsidR="00317213" w:rsidRDefault="00317213" w:rsidP="00317213">
      <w:pPr>
        <w:rPr>
          <w:rStyle w:val="A4"/>
          <w:b/>
          <w:color w:val="auto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17D82B1" wp14:editId="070BA8FB">
            <wp:extent cx="5731510" cy="179844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13" w:rsidRDefault="007034F8" w:rsidP="00317213">
      <w:pPr>
        <w:rPr>
          <w:b/>
        </w:rPr>
      </w:pPr>
      <w:r>
        <w:rPr>
          <w:b/>
        </w:rPr>
        <w:t xml:space="preserve">The long term trend of steady and increase in footfall overall over Oxford during the first 3 Quarters of 2018 </w:t>
      </w:r>
    </w:p>
    <w:p w:rsidR="002E0BB4" w:rsidRDefault="002E0BB4" w:rsidP="00317213">
      <w:pPr>
        <w:rPr>
          <w:b/>
        </w:rPr>
      </w:pPr>
    </w:p>
    <w:p w:rsidR="00134B6F" w:rsidRDefault="00134B6F" w:rsidP="00317213">
      <w:pPr>
        <w:rPr>
          <w:b/>
        </w:rPr>
      </w:pPr>
      <w:r>
        <w:rPr>
          <w:b/>
        </w:rPr>
        <w:t xml:space="preserve">Change of footfall: </w:t>
      </w:r>
    </w:p>
    <w:p w:rsidR="005F7285" w:rsidRPr="005F7285" w:rsidRDefault="00134B6F" w:rsidP="00134B6F">
      <w:pPr>
        <w:rPr>
          <w:b/>
        </w:rPr>
      </w:pPr>
      <w:r w:rsidRPr="005F7285">
        <w:rPr>
          <w:b/>
        </w:rPr>
        <w:t xml:space="preserve">Quarter 1: </w:t>
      </w:r>
    </w:p>
    <w:p w:rsidR="005F7285" w:rsidRDefault="00134B6F" w:rsidP="00134B6F">
      <w:r w:rsidRPr="005F7285">
        <w:t>2017 4.6% down on the previous year</w:t>
      </w:r>
      <w:r w:rsidR="005F7285">
        <w:t xml:space="preserve"> </w:t>
      </w:r>
    </w:p>
    <w:p w:rsidR="00134B6F" w:rsidRPr="005F7285" w:rsidRDefault="005F7285" w:rsidP="00134B6F">
      <w:r w:rsidRPr="005F7285">
        <w:t xml:space="preserve">2018 </w:t>
      </w:r>
      <w:r w:rsidR="00134B6F" w:rsidRPr="005F7285">
        <w:t>15.9% up on the previous year</w:t>
      </w:r>
    </w:p>
    <w:p w:rsidR="005F7285" w:rsidRPr="005F7285" w:rsidRDefault="00134B6F" w:rsidP="005F7285">
      <w:pPr>
        <w:rPr>
          <w:b/>
        </w:rPr>
      </w:pPr>
      <w:r w:rsidRPr="005F7285">
        <w:rPr>
          <w:b/>
        </w:rPr>
        <w:t>Quarter 2:</w:t>
      </w:r>
      <w:r w:rsidR="005F7285" w:rsidRPr="005F7285">
        <w:rPr>
          <w:b/>
        </w:rPr>
        <w:t xml:space="preserve"> </w:t>
      </w:r>
    </w:p>
    <w:p w:rsidR="005F7285" w:rsidRDefault="005F7285" w:rsidP="005F7285">
      <w:r w:rsidRPr="005F7285">
        <w:t>2017 2.3% up on the previous year</w:t>
      </w:r>
      <w:r>
        <w:t xml:space="preserve"> </w:t>
      </w:r>
    </w:p>
    <w:p w:rsidR="005F7285" w:rsidRPr="005F7285" w:rsidRDefault="005F7285" w:rsidP="005F7285">
      <w:r w:rsidRPr="005F7285">
        <w:t>2018 0.5% up on the previous year</w:t>
      </w:r>
    </w:p>
    <w:p w:rsidR="00134B6F" w:rsidRPr="005F7285" w:rsidRDefault="00134B6F" w:rsidP="00134B6F">
      <w:pPr>
        <w:rPr>
          <w:b/>
        </w:rPr>
      </w:pPr>
      <w:r w:rsidRPr="005F7285">
        <w:rPr>
          <w:b/>
        </w:rPr>
        <w:t>Quarter 3:</w:t>
      </w:r>
    </w:p>
    <w:p w:rsidR="005F7285" w:rsidRDefault="005F7285" w:rsidP="005F7285">
      <w:r w:rsidRPr="005F7285">
        <w:t xml:space="preserve">2017 </w:t>
      </w:r>
      <w:r>
        <w:t>5.4</w:t>
      </w:r>
      <w:r w:rsidRPr="005F7285">
        <w:t>% up on the previous year</w:t>
      </w:r>
      <w:r>
        <w:t xml:space="preserve"> </w:t>
      </w:r>
    </w:p>
    <w:p w:rsidR="005F7285" w:rsidRPr="005F7285" w:rsidRDefault="005F7285" w:rsidP="005F7285">
      <w:r w:rsidRPr="005F7285">
        <w:t xml:space="preserve">2018 </w:t>
      </w:r>
      <w:r>
        <w:t>4.2</w:t>
      </w:r>
      <w:r w:rsidRPr="005F7285">
        <w:t>% up on the previous year</w:t>
      </w:r>
    </w:p>
    <w:p w:rsidR="00134B6F" w:rsidRPr="005F7285" w:rsidRDefault="00134B6F" w:rsidP="00134B6F">
      <w:pPr>
        <w:rPr>
          <w:b/>
        </w:rPr>
      </w:pPr>
      <w:r w:rsidRPr="005F7285">
        <w:rPr>
          <w:b/>
        </w:rPr>
        <w:t>Quarter 4:</w:t>
      </w:r>
    </w:p>
    <w:p w:rsidR="005F7285" w:rsidRDefault="005F7285" w:rsidP="005F7285">
      <w:r w:rsidRPr="005F7285">
        <w:t xml:space="preserve">2017 </w:t>
      </w:r>
      <w:r w:rsidR="002E0BB4">
        <w:t>15.4</w:t>
      </w:r>
      <w:r w:rsidRPr="005F7285">
        <w:t>% up on the previous year</w:t>
      </w:r>
      <w:r>
        <w:t xml:space="preserve"> </w:t>
      </w:r>
    </w:p>
    <w:p w:rsidR="00134B6F" w:rsidRDefault="00134B6F" w:rsidP="00317213">
      <w:pPr>
        <w:rPr>
          <w:b/>
        </w:rPr>
      </w:pPr>
    </w:p>
    <w:p w:rsidR="002E0BB4" w:rsidRDefault="002E0BB4" w:rsidP="00317213">
      <w:pPr>
        <w:jc w:val="center"/>
        <w:rPr>
          <w:b/>
          <w:sz w:val="32"/>
          <w:szCs w:val="32"/>
        </w:rPr>
      </w:pPr>
    </w:p>
    <w:p w:rsidR="002E0BB4" w:rsidRDefault="002E0BB4" w:rsidP="00317213">
      <w:pPr>
        <w:jc w:val="center"/>
        <w:rPr>
          <w:b/>
          <w:sz w:val="32"/>
          <w:szCs w:val="32"/>
        </w:rPr>
      </w:pPr>
    </w:p>
    <w:p w:rsidR="00317213" w:rsidRPr="007034F8" w:rsidRDefault="00317213" w:rsidP="00317213">
      <w:pPr>
        <w:jc w:val="center"/>
        <w:rPr>
          <w:b/>
          <w:sz w:val="32"/>
          <w:szCs w:val="32"/>
        </w:rPr>
      </w:pPr>
      <w:r w:rsidRPr="007034F8">
        <w:rPr>
          <w:b/>
          <w:sz w:val="32"/>
          <w:szCs w:val="32"/>
        </w:rPr>
        <w:t>Footfall UK 2018</w:t>
      </w:r>
    </w:p>
    <w:p w:rsidR="00317213" w:rsidRDefault="00317213" w:rsidP="003B3A2E">
      <w:pPr>
        <w:jc w:val="center"/>
        <w:rPr>
          <w:b/>
        </w:rPr>
      </w:pPr>
    </w:p>
    <w:p w:rsidR="003B3A2E" w:rsidRDefault="003B3A2E" w:rsidP="003B3A2E">
      <w:pPr>
        <w:jc w:val="center"/>
        <w:rPr>
          <w:b/>
        </w:rPr>
      </w:pPr>
    </w:p>
    <w:p w:rsidR="00102601" w:rsidRPr="002E0BB4" w:rsidRDefault="00102601" w:rsidP="00102601">
      <w:pPr>
        <w:rPr>
          <w:rStyle w:val="A4"/>
          <w:b/>
          <w:color w:val="auto"/>
          <w:sz w:val="24"/>
          <w:szCs w:val="24"/>
        </w:rPr>
      </w:pPr>
      <w:r w:rsidRPr="002E0BB4">
        <w:rPr>
          <w:rStyle w:val="A4"/>
          <w:b/>
          <w:color w:val="auto"/>
          <w:sz w:val="24"/>
          <w:szCs w:val="24"/>
        </w:rPr>
        <w:t xml:space="preserve">Quarter 1 2018 </w:t>
      </w:r>
    </w:p>
    <w:p w:rsidR="00102601" w:rsidRPr="002E0BB4" w:rsidRDefault="00102601" w:rsidP="00102601">
      <w:pPr>
        <w:rPr>
          <w:rStyle w:val="A4"/>
          <w:b/>
          <w:color w:val="auto"/>
          <w:sz w:val="24"/>
          <w:szCs w:val="24"/>
        </w:rPr>
      </w:pPr>
      <w:r w:rsidRPr="002E0BB4">
        <w:rPr>
          <w:rStyle w:val="A4"/>
          <w:rFonts w:cs="Arial"/>
          <w:color w:val="auto"/>
          <w:sz w:val="24"/>
          <w:szCs w:val="24"/>
        </w:rPr>
        <w:t>Footfall declined by -3.0% in Q1 2018, a significantly worse result than the drops of -1.9% in Q4 2017 and -0.2% in Q1 2017.</w:t>
      </w:r>
    </w:p>
    <w:p w:rsidR="00102601" w:rsidRPr="00102601" w:rsidRDefault="00317213" w:rsidP="003B3A2E">
      <w:pPr>
        <w:rPr>
          <w:rStyle w:val="A4"/>
          <w:b/>
          <w:color w:val="auto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6F5FA7AB" wp14:editId="5B3B586F">
            <wp:extent cx="4029075" cy="2733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01" w:rsidRPr="00102601" w:rsidRDefault="00102601" w:rsidP="003B3A2E">
      <w:pPr>
        <w:rPr>
          <w:rStyle w:val="A4"/>
          <w:b/>
          <w:color w:val="auto"/>
          <w:sz w:val="32"/>
          <w:szCs w:val="32"/>
        </w:rPr>
      </w:pPr>
    </w:p>
    <w:p w:rsidR="003B3A2E" w:rsidRPr="002E0BB4" w:rsidRDefault="003B3A2E" w:rsidP="003B3A2E">
      <w:pPr>
        <w:rPr>
          <w:rStyle w:val="A4"/>
          <w:b/>
          <w:color w:val="auto"/>
          <w:sz w:val="24"/>
          <w:szCs w:val="24"/>
        </w:rPr>
      </w:pPr>
      <w:r w:rsidRPr="002E0BB4">
        <w:rPr>
          <w:rStyle w:val="A4"/>
          <w:b/>
          <w:color w:val="auto"/>
          <w:sz w:val="24"/>
          <w:szCs w:val="24"/>
        </w:rPr>
        <w:t xml:space="preserve">Quarter 2 2018 </w:t>
      </w:r>
    </w:p>
    <w:p w:rsidR="003B3A2E" w:rsidRPr="002E0BB4" w:rsidRDefault="003B3A2E" w:rsidP="003B3A2E">
      <w:pPr>
        <w:rPr>
          <w:rStyle w:val="A4"/>
          <w:color w:val="auto"/>
          <w:sz w:val="24"/>
          <w:szCs w:val="24"/>
        </w:rPr>
      </w:pPr>
      <w:r w:rsidRPr="002E0BB4">
        <w:rPr>
          <w:rStyle w:val="A4"/>
          <w:color w:val="auto"/>
          <w:sz w:val="24"/>
          <w:szCs w:val="24"/>
        </w:rPr>
        <w:t>Footfall declined by -1.5% in Q2 2018, an improvement on the drop of -3.0% in the previous quarter, but a noticeable worsening from Q2 2017 when footfall rose by +0.5%.</w:t>
      </w:r>
    </w:p>
    <w:p w:rsidR="003B3A2E" w:rsidRDefault="003B3A2E" w:rsidP="003B3A2E">
      <w:pPr>
        <w:rPr>
          <w:rStyle w:val="A4"/>
          <w:color w:val="auto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EEF2F5B" wp14:editId="18F89F26">
            <wp:extent cx="432435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01" w:rsidRDefault="00102601" w:rsidP="003B3A2E">
      <w:pPr>
        <w:rPr>
          <w:rStyle w:val="A4"/>
          <w:b/>
          <w:color w:val="auto"/>
          <w:sz w:val="22"/>
          <w:szCs w:val="22"/>
        </w:rPr>
      </w:pPr>
    </w:p>
    <w:p w:rsidR="00102601" w:rsidRDefault="00102601" w:rsidP="003B3A2E">
      <w:pPr>
        <w:rPr>
          <w:rStyle w:val="A4"/>
          <w:b/>
          <w:color w:val="auto"/>
          <w:sz w:val="22"/>
          <w:szCs w:val="22"/>
        </w:rPr>
      </w:pPr>
    </w:p>
    <w:p w:rsidR="00102601" w:rsidRDefault="00102601" w:rsidP="003B3A2E">
      <w:pPr>
        <w:rPr>
          <w:rStyle w:val="A4"/>
          <w:b/>
          <w:color w:val="auto"/>
          <w:sz w:val="22"/>
          <w:szCs w:val="22"/>
        </w:rPr>
      </w:pPr>
    </w:p>
    <w:p w:rsidR="00102601" w:rsidRDefault="00102601" w:rsidP="003B3A2E">
      <w:pPr>
        <w:rPr>
          <w:rStyle w:val="A4"/>
          <w:b/>
          <w:color w:val="auto"/>
          <w:sz w:val="22"/>
          <w:szCs w:val="22"/>
        </w:rPr>
      </w:pPr>
    </w:p>
    <w:p w:rsidR="00102601" w:rsidRDefault="00102601" w:rsidP="003B3A2E">
      <w:pPr>
        <w:rPr>
          <w:rStyle w:val="A4"/>
          <w:b/>
          <w:color w:val="auto"/>
          <w:sz w:val="22"/>
          <w:szCs w:val="22"/>
        </w:rPr>
      </w:pPr>
    </w:p>
    <w:p w:rsidR="002E0BB4" w:rsidRDefault="002E0BB4" w:rsidP="003B3A2E">
      <w:pPr>
        <w:rPr>
          <w:rStyle w:val="A4"/>
          <w:b/>
          <w:color w:val="auto"/>
          <w:sz w:val="22"/>
          <w:szCs w:val="22"/>
        </w:rPr>
      </w:pPr>
    </w:p>
    <w:p w:rsidR="00102601" w:rsidRDefault="00102601" w:rsidP="003B3A2E">
      <w:pPr>
        <w:rPr>
          <w:rStyle w:val="A4"/>
          <w:b/>
          <w:color w:val="auto"/>
          <w:sz w:val="22"/>
          <w:szCs w:val="22"/>
        </w:rPr>
      </w:pPr>
    </w:p>
    <w:p w:rsidR="00102601" w:rsidRDefault="00102601" w:rsidP="003B3A2E">
      <w:pPr>
        <w:rPr>
          <w:rStyle w:val="A4"/>
          <w:b/>
          <w:color w:val="auto"/>
          <w:sz w:val="22"/>
          <w:szCs w:val="22"/>
        </w:rPr>
      </w:pPr>
    </w:p>
    <w:p w:rsidR="003B3A2E" w:rsidRPr="002E0BB4" w:rsidRDefault="003B3A2E" w:rsidP="003B3A2E">
      <w:pPr>
        <w:rPr>
          <w:rStyle w:val="A4"/>
          <w:b/>
          <w:color w:val="auto"/>
          <w:sz w:val="24"/>
          <w:szCs w:val="24"/>
        </w:rPr>
      </w:pPr>
      <w:r w:rsidRPr="002E0BB4">
        <w:rPr>
          <w:rStyle w:val="A4"/>
          <w:b/>
          <w:color w:val="auto"/>
          <w:sz w:val="24"/>
          <w:szCs w:val="24"/>
        </w:rPr>
        <w:lastRenderedPageBreak/>
        <w:t xml:space="preserve">Quarter 3 2018 </w:t>
      </w:r>
    </w:p>
    <w:p w:rsidR="003B3A2E" w:rsidRPr="002E0BB4" w:rsidRDefault="003B3A2E" w:rsidP="003B3A2E">
      <w:pPr>
        <w:rPr>
          <w:rStyle w:val="A4"/>
          <w:b/>
          <w:color w:val="auto"/>
          <w:sz w:val="24"/>
          <w:szCs w:val="24"/>
        </w:rPr>
      </w:pPr>
      <w:r w:rsidRPr="002E0BB4">
        <w:rPr>
          <w:rStyle w:val="A6"/>
          <w:sz w:val="24"/>
          <w:szCs w:val="24"/>
        </w:rPr>
        <w:t>Footfall declined by -1.4% in Q3 2018, a marginal improvement on the drop of -1.5% in the previous quarter, but a slight worsening from Q3 2017 when footfall declined by -1.2%.</w:t>
      </w:r>
    </w:p>
    <w:p w:rsidR="003B3A2E" w:rsidRDefault="00102601" w:rsidP="003B3A2E">
      <w:pPr>
        <w:rPr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DA8945B" wp14:editId="17501CC9">
            <wp:extent cx="4895850" cy="409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01" w:rsidRDefault="00102601" w:rsidP="00102601">
      <w:pPr>
        <w:rPr>
          <w:rStyle w:val="A5"/>
          <w:sz w:val="22"/>
          <w:szCs w:val="22"/>
        </w:rPr>
      </w:pPr>
    </w:p>
    <w:p w:rsidR="00102601" w:rsidRDefault="00102601" w:rsidP="00102601">
      <w:pPr>
        <w:rPr>
          <w:rStyle w:val="A5"/>
          <w:sz w:val="22"/>
          <w:szCs w:val="22"/>
        </w:rPr>
      </w:pPr>
    </w:p>
    <w:p w:rsidR="00102601" w:rsidRPr="002E0BB4" w:rsidRDefault="00102601" w:rsidP="00102601">
      <w:pPr>
        <w:rPr>
          <w:color w:val="221E1F"/>
        </w:rPr>
      </w:pPr>
      <w:r w:rsidRPr="002E0BB4">
        <w:rPr>
          <w:b/>
          <w:color w:val="221E1F"/>
        </w:rPr>
        <w:t>The decline in footfall in Q3 was virtually universal across all geographies bar one, where footfall was flat</w:t>
      </w:r>
      <w:r w:rsidRPr="002E0BB4">
        <w:rPr>
          <w:color w:val="221E1F"/>
        </w:rPr>
        <w:t>.</w:t>
      </w:r>
    </w:p>
    <w:p w:rsidR="00102601" w:rsidRPr="002E0BB4" w:rsidRDefault="00102601" w:rsidP="00102601">
      <w:pPr>
        <w:pStyle w:val="Pa1"/>
        <w:rPr>
          <w:rFonts w:ascii="Arial" w:hAnsi="Arial"/>
          <w:color w:val="221E1F"/>
        </w:rPr>
      </w:pPr>
      <w:r w:rsidRPr="002E0BB4">
        <w:rPr>
          <w:rStyle w:val="A5"/>
          <w:rFonts w:ascii="Arial" w:hAnsi="Arial" w:cs="Arial"/>
          <w:sz w:val="24"/>
          <w:szCs w:val="24"/>
        </w:rPr>
        <w:t xml:space="preserve">This is a continuation of a trend that was evident in both Q2 2018 and in Q3 2017, however the magnitude of the decline worsened this quarter in six of the ten geographies. </w:t>
      </w:r>
    </w:p>
    <w:p w:rsidR="00102601" w:rsidRPr="002E0BB4" w:rsidRDefault="00102601" w:rsidP="00102601">
      <w:pPr>
        <w:pStyle w:val="Pa1"/>
        <w:rPr>
          <w:rFonts w:ascii="Arial" w:hAnsi="Arial"/>
          <w:color w:val="221E1F"/>
        </w:rPr>
      </w:pPr>
      <w:r w:rsidRPr="002E0BB4">
        <w:rPr>
          <w:rStyle w:val="A5"/>
          <w:rFonts w:ascii="Arial" w:hAnsi="Arial" w:cs="Arial"/>
          <w:sz w:val="24"/>
          <w:szCs w:val="24"/>
        </w:rPr>
        <w:t>The most severe falls occurred in the east and the west of the UK (-2.9% in the East, -3.4% in the East Midlands, -2.5% in the South West and -3.4% in Wales). In just one geography the decline in footfall was less than -1.0% (-0.8% in Greater London).</w:t>
      </w:r>
    </w:p>
    <w:p w:rsidR="00102601" w:rsidRPr="002E0BB4" w:rsidRDefault="00102601" w:rsidP="00102601">
      <w:pPr>
        <w:rPr>
          <w:rStyle w:val="A5"/>
          <w:rFonts w:cs="Arial"/>
          <w:sz w:val="24"/>
          <w:szCs w:val="24"/>
        </w:rPr>
      </w:pPr>
      <w:r w:rsidRPr="002E0BB4">
        <w:rPr>
          <w:rStyle w:val="A5"/>
          <w:rFonts w:cs="Arial"/>
          <w:sz w:val="24"/>
          <w:szCs w:val="24"/>
        </w:rPr>
        <w:t>In virtually all geographies footfall worsened noticeably in August and September, with footfall in six areas of the UK declining by more than -3.0% in September.</w:t>
      </w:r>
    </w:p>
    <w:p w:rsidR="00102601" w:rsidRPr="00102601" w:rsidRDefault="00102601" w:rsidP="00102601">
      <w:pPr>
        <w:rPr>
          <w:b/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36CD0631" wp14:editId="4EDB4BBE">
            <wp:extent cx="5362575" cy="7629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601" w:rsidRPr="0010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BT Light">
    <w:altName w:val="FuturaB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 Book">
    <w:altName w:val="FuturaB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2E"/>
    <w:rsid w:val="000B4310"/>
    <w:rsid w:val="00102601"/>
    <w:rsid w:val="00134B6F"/>
    <w:rsid w:val="00136A9B"/>
    <w:rsid w:val="001C3877"/>
    <w:rsid w:val="002E0BB4"/>
    <w:rsid w:val="00317213"/>
    <w:rsid w:val="003B3A2E"/>
    <w:rsid w:val="004000D7"/>
    <w:rsid w:val="00504E43"/>
    <w:rsid w:val="005F7285"/>
    <w:rsid w:val="007034F8"/>
    <w:rsid w:val="007908F4"/>
    <w:rsid w:val="007F08C4"/>
    <w:rsid w:val="008A22C6"/>
    <w:rsid w:val="00C07F80"/>
    <w:rsid w:val="00F231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3B3A2E"/>
    <w:rPr>
      <w:rFonts w:cs="FuturaBT Light"/>
      <w:color w:val="FFFFFF"/>
      <w:sz w:val="84"/>
      <w:szCs w:val="84"/>
    </w:rPr>
  </w:style>
  <w:style w:type="paragraph" w:customStyle="1" w:styleId="Pa0">
    <w:name w:val="Pa0"/>
    <w:basedOn w:val="Normal"/>
    <w:next w:val="Normal"/>
    <w:uiPriority w:val="99"/>
    <w:rsid w:val="003B3A2E"/>
    <w:pPr>
      <w:autoSpaceDE w:val="0"/>
      <w:autoSpaceDN w:val="0"/>
      <w:adjustRightInd w:val="0"/>
      <w:spacing w:line="241" w:lineRule="atLeast"/>
    </w:pPr>
    <w:rPr>
      <w:rFonts w:ascii="FuturaBT Book" w:hAnsi="FuturaBT Book"/>
    </w:rPr>
  </w:style>
  <w:style w:type="character" w:customStyle="1" w:styleId="A5">
    <w:name w:val="A5"/>
    <w:uiPriority w:val="99"/>
    <w:rsid w:val="003B3A2E"/>
    <w:rPr>
      <w:rFonts w:cs="FuturaBT Book"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2E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3B3A2E"/>
    <w:rPr>
      <w:rFonts w:cs="FuturaBT Light"/>
      <w:color w:val="221E1F"/>
      <w:sz w:val="82"/>
      <w:szCs w:val="82"/>
    </w:rPr>
  </w:style>
  <w:style w:type="paragraph" w:customStyle="1" w:styleId="Pa1">
    <w:name w:val="Pa1"/>
    <w:basedOn w:val="Normal"/>
    <w:next w:val="Normal"/>
    <w:uiPriority w:val="99"/>
    <w:rsid w:val="00102601"/>
    <w:pPr>
      <w:autoSpaceDE w:val="0"/>
      <w:autoSpaceDN w:val="0"/>
      <w:adjustRightInd w:val="0"/>
      <w:spacing w:line="241" w:lineRule="atLeast"/>
    </w:pPr>
    <w:rPr>
      <w:rFonts w:ascii="FuturaBT Book" w:hAnsi="FuturaBT Book"/>
    </w:rPr>
  </w:style>
  <w:style w:type="paragraph" w:customStyle="1" w:styleId="Default">
    <w:name w:val="Default"/>
    <w:rsid w:val="00102601"/>
    <w:pPr>
      <w:autoSpaceDE w:val="0"/>
      <w:autoSpaceDN w:val="0"/>
      <w:adjustRightInd w:val="0"/>
    </w:pPr>
    <w:rPr>
      <w:rFonts w:ascii="FuturaBT Light" w:hAnsi="FuturaBT Light" w:cs="FuturaBT Ligh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3B3A2E"/>
    <w:rPr>
      <w:rFonts w:cs="FuturaBT Light"/>
      <w:color w:val="FFFFFF"/>
      <w:sz w:val="84"/>
      <w:szCs w:val="84"/>
    </w:rPr>
  </w:style>
  <w:style w:type="paragraph" w:customStyle="1" w:styleId="Pa0">
    <w:name w:val="Pa0"/>
    <w:basedOn w:val="Normal"/>
    <w:next w:val="Normal"/>
    <w:uiPriority w:val="99"/>
    <w:rsid w:val="003B3A2E"/>
    <w:pPr>
      <w:autoSpaceDE w:val="0"/>
      <w:autoSpaceDN w:val="0"/>
      <w:adjustRightInd w:val="0"/>
      <w:spacing w:line="241" w:lineRule="atLeast"/>
    </w:pPr>
    <w:rPr>
      <w:rFonts w:ascii="FuturaBT Book" w:hAnsi="FuturaBT Book"/>
    </w:rPr>
  </w:style>
  <w:style w:type="character" w:customStyle="1" w:styleId="A5">
    <w:name w:val="A5"/>
    <w:uiPriority w:val="99"/>
    <w:rsid w:val="003B3A2E"/>
    <w:rPr>
      <w:rFonts w:cs="FuturaBT Book"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2E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3B3A2E"/>
    <w:rPr>
      <w:rFonts w:cs="FuturaBT Light"/>
      <w:color w:val="221E1F"/>
      <w:sz w:val="82"/>
      <w:szCs w:val="82"/>
    </w:rPr>
  </w:style>
  <w:style w:type="paragraph" w:customStyle="1" w:styleId="Pa1">
    <w:name w:val="Pa1"/>
    <w:basedOn w:val="Normal"/>
    <w:next w:val="Normal"/>
    <w:uiPriority w:val="99"/>
    <w:rsid w:val="00102601"/>
    <w:pPr>
      <w:autoSpaceDE w:val="0"/>
      <w:autoSpaceDN w:val="0"/>
      <w:adjustRightInd w:val="0"/>
      <w:spacing w:line="241" w:lineRule="atLeast"/>
    </w:pPr>
    <w:rPr>
      <w:rFonts w:ascii="FuturaBT Book" w:hAnsi="FuturaBT Book"/>
    </w:rPr>
  </w:style>
  <w:style w:type="paragraph" w:customStyle="1" w:styleId="Default">
    <w:name w:val="Default"/>
    <w:rsid w:val="00102601"/>
    <w:pPr>
      <w:autoSpaceDE w:val="0"/>
      <w:autoSpaceDN w:val="0"/>
      <w:adjustRightInd w:val="0"/>
    </w:pPr>
    <w:rPr>
      <w:rFonts w:ascii="FuturaBT Light" w:hAnsi="FuturaBT Light" w:cs="FuturaBT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FC33-A4A3-4643-8544-AC07DCAA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4085EAE</Template>
  <TotalTime>82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awithers</dc:creator>
  <cp:lastModifiedBy>srobinson</cp:lastModifiedBy>
  <cp:revision>4</cp:revision>
  <dcterms:created xsi:type="dcterms:W3CDTF">2018-11-22T11:03:00Z</dcterms:created>
  <dcterms:modified xsi:type="dcterms:W3CDTF">2018-11-26T11:59:00Z</dcterms:modified>
</cp:coreProperties>
</file>